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EDAF9E">
      <w:pPr>
        <w:spacing w:line="600" w:lineRule="exact"/>
        <w:jc w:val="center"/>
        <w:rPr>
          <w:rFonts w:hint="eastAsia"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宁夏回族自治区</w:t>
      </w:r>
      <w:r>
        <w:rPr>
          <w:rFonts w:hint="eastAsia" w:ascii="方正小标宋_GBK" w:hAnsi="黑体" w:eastAsia="方正小标宋_GBK"/>
          <w:sz w:val="44"/>
          <w:szCs w:val="44"/>
          <w:lang w:val="en-US" w:eastAsia="zh-CN"/>
        </w:rPr>
        <w:t xml:space="preserve"> </w:t>
      </w:r>
      <w:r>
        <w:rPr>
          <w:rFonts w:hint="eastAsia" w:ascii="方正小标宋_GBK" w:hAnsi="黑体" w:eastAsia="方正小标宋_GBK"/>
          <w:sz w:val="44"/>
          <w:szCs w:val="44"/>
          <w:u w:val="single"/>
        </w:rPr>
        <w:t>粮油作物一次性施肥技术规程第</w:t>
      </w:r>
      <w:r>
        <w:rPr>
          <w:rFonts w:hint="eastAsia" w:ascii="方正小标宋_GBK" w:hAnsi="黑体" w:eastAsia="方正小标宋_GBK"/>
          <w:sz w:val="44"/>
          <w:szCs w:val="44"/>
          <w:u w:val="single"/>
          <w:lang w:val="en-US" w:eastAsia="zh-CN"/>
        </w:rPr>
        <w:t>1</w:t>
      </w:r>
      <w:r>
        <w:rPr>
          <w:rFonts w:hint="eastAsia" w:ascii="方正小标宋_GBK" w:hAnsi="黑体" w:eastAsia="方正小标宋_GBK"/>
          <w:sz w:val="44"/>
          <w:szCs w:val="44"/>
          <w:u w:val="single"/>
        </w:rPr>
        <w:t>部分：</w:t>
      </w:r>
      <w:r>
        <w:rPr>
          <w:rFonts w:hint="eastAsia" w:ascii="方正小标宋_GBK" w:hAnsi="黑体" w:eastAsia="方正小标宋_GBK"/>
          <w:sz w:val="44"/>
          <w:szCs w:val="44"/>
          <w:u w:val="single"/>
          <w:lang w:eastAsia="zh-CN"/>
        </w:rPr>
        <w:t>小麦</w:t>
      </w:r>
      <w:r>
        <w:rPr>
          <w:rFonts w:hint="eastAsia" w:ascii="方正小标宋_GBK" w:hAnsi="黑体" w:eastAsia="方正小标宋_GBK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_GBK" w:hAnsi="黑体" w:eastAsia="方正小标宋_GBK"/>
          <w:sz w:val="44"/>
          <w:szCs w:val="44"/>
        </w:rPr>
        <w:t>地方标准征求意见汇总处理表</w:t>
      </w:r>
    </w:p>
    <w:p w14:paraId="633CE129">
      <w:pPr>
        <w:spacing w:line="600" w:lineRule="exact"/>
        <w:jc w:val="center"/>
        <w:rPr>
          <w:rFonts w:hint="eastAsia" w:ascii="方正小标宋_GBK" w:hAnsi="黑体" w:eastAsia="方正小标宋_GBK"/>
          <w:sz w:val="44"/>
          <w:szCs w:val="44"/>
        </w:rPr>
      </w:pPr>
    </w:p>
    <w:tbl>
      <w:tblPr>
        <w:tblStyle w:val="4"/>
        <w:tblW w:w="142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4022"/>
        <w:gridCol w:w="4540"/>
        <w:gridCol w:w="2287"/>
        <w:gridCol w:w="2787"/>
      </w:tblGrid>
      <w:tr w14:paraId="4040B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3459122C">
            <w:pPr>
              <w:snapToGrid w:val="0"/>
              <w:jc w:val="center"/>
              <w:rPr>
                <w:rFonts w:hint="eastAsia"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序号</w:t>
            </w:r>
          </w:p>
        </w:tc>
        <w:tc>
          <w:tcPr>
            <w:tcW w:w="4022" w:type="dxa"/>
            <w:noWrap w:val="0"/>
            <w:vAlign w:val="center"/>
          </w:tcPr>
          <w:p w14:paraId="0302B3D1">
            <w:pPr>
              <w:snapToGrid w:val="0"/>
              <w:jc w:val="center"/>
              <w:rPr>
                <w:rFonts w:hint="eastAsia"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意见章条及原标准内容</w:t>
            </w:r>
          </w:p>
        </w:tc>
        <w:tc>
          <w:tcPr>
            <w:tcW w:w="4540" w:type="dxa"/>
            <w:noWrap w:val="0"/>
            <w:vAlign w:val="center"/>
          </w:tcPr>
          <w:p w14:paraId="620618CA">
            <w:pPr>
              <w:snapToGrid w:val="0"/>
              <w:jc w:val="center"/>
              <w:rPr>
                <w:rFonts w:hint="eastAsia"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修改意见及依据</w:t>
            </w:r>
          </w:p>
        </w:tc>
        <w:tc>
          <w:tcPr>
            <w:tcW w:w="2287" w:type="dxa"/>
            <w:noWrap w:val="0"/>
            <w:vAlign w:val="center"/>
          </w:tcPr>
          <w:p w14:paraId="3C89A773">
            <w:pPr>
              <w:snapToGrid w:val="0"/>
              <w:jc w:val="center"/>
              <w:rPr>
                <w:rFonts w:hint="eastAsia" w:ascii="黑体" w:hAnsi="宋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提出单位</w:t>
            </w:r>
            <w:r>
              <w:rPr>
                <w:rFonts w:hint="eastAsia" w:ascii="黑体" w:hAnsi="宋体" w:eastAsia="黑体"/>
                <w:sz w:val="28"/>
                <w:szCs w:val="28"/>
                <w:lang w:eastAsia="zh-CN"/>
              </w:rPr>
              <w:t>及专家</w:t>
            </w:r>
          </w:p>
        </w:tc>
        <w:tc>
          <w:tcPr>
            <w:tcW w:w="2787" w:type="dxa"/>
            <w:noWrap w:val="0"/>
            <w:vAlign w:val="center"/>
          </w:tcPr>
          <w:p w14:paraId="4A32393D">
            <w:pPr>
              <w:snapToGrid w:val="0"/>
              <w:jc w:val="center"/>
              <w:rPr>
                <w:rFonts w:hint="eastAsia"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意见处理</w:t>
            </w:r>
          </w:p>
        </w:tc>
      </w:tr>
      <w:tr w14:paraId="37F54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2567C5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4022" w:type="dxa"/>
            <w:noWrap w:val="0"/>
            <w:vAlign w:val="center"/>
          </w:tcPr>
          <w:p w14:paraId="78E88A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封面</w:t>
            </w:r>
          </w:p>
        </w:tc>
        <w:tc>
          <w:tcPr>
            <w:tcW w:w="4540" w:type="dxa"/>
            <w:noWrap w:val="0"/>
            <w:vAlign w:val="center"/>
          </w:tcPr>
          <w:p w14:paraId="28DD0702">
            <w:pPr>
              <w:pStyle w:val="1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ind w:left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“第一部分”大写一改为阿拉伯数字“1”，Part 3改为Part 1，和前面用破折号连接，英文翻译字体为四号黑体，取消文档保护功能可修改字体；</w:t>
            </w:r>
          </w:p>
        </w:tc>
        <w:tc>
          <w:tcPr>
            <w:tcW w:w="2287" w:type="dxa"/>
            <w:noWrap w:val="0"/>
            <w:vAlign w:val="center"/>
          </w:tcPr>
          <w:p w14:paraId="19A551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宁夏食品协会</w:t>
            </w:r>
          </w:p>
          <w:p w14:paraId="0BF229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季瑞</w:t>
            </w:r>
          </w:p>
        </w:tc>
        <w:tc>
          <w:tcPr>
            <w:tcW w:w="2787" w:type="dxa"/>
            <w:noWrap w:val="0"/>
            <w:vAlign w:val="center"/>
          </w:tcPr>
          <w:p w14:paraId="6CCAE9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全部采纳。</w:t>
            </w:r>
          </w:p>
        </w:tc>
      </w:tr>
      <w:tr w14:paraId="42BF1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1EDBA3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4022" w:type="dxa"/>
            <w:noWrap w:val="0"/>
            <w:vAlign w:val="center"/>
          </w:tcPr>
          <w:p w14:paraId="3ED760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规程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 前言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1"/>
                <w:szCs w:val="21"/>
              </w:rPr>
              <w:t>本文件由宁夏回族自治区农业农村厅归口并组织实施</w:t>
            </w:r>
          </w:p>
        </w:tc>
        <w:tc>
          <w:tcPr>
            <w:tcW w:w="4540" w:type="dxa"/>
            <w:noWrap w:val="0"/>
            <w:vAlign w:val="center"/>
          </w:tcPr>
          <w:p w14:paraId="5171D8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前言“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1"/>
                <w:szCs w:val="21"/>
              </w:rPr>
              <w:t>本文件由宁夏回族自治区农业农村厅归口并组织实施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1"/>
                <w:szCs w:val="21"/>
                <w:lang w:eastAsia="zh-CN"/>
              </w:rPr>
              <w:t>”加上“提出”</w:t>
            </w:r>
          </w:p>
        </w:tc>
        <w:tc>
          <w:tcPr>
            <w:tcW w:w="2287" w:type="dxa"/>
            <w:shd w:val="clear" w:color="auto" w:fill="auto"/>
            <w:noWrap w:val="0"/>
            <w:vAlign w:val="center"/>
          </w:tcPr>
          <w:p w14:paraId="3B02EE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宁夏食品协会</w:t>
            </w:r>
          </w:p>
          <w:p w14:paraId="7BA24F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季瑞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 w14:paraId="47D87A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全部采纳。</w:t>
            </w:r>
          </w:p>
        </w:tc>
      </w:tr>
      <w:tr w14:paraId="691F6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4D5D64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4022" w:type="dxa"/>
            <w:noWrap w:val="0"/>
            <w:vAlign w:val="center"/>
          </w:tcPr>
          <w:p w14:paraId="4C16E5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1"/>
                <w:szCs w:val="21"/>
                <w:lang w:val="en-US" w:eastAsia="zh-CN"/>
              </w:rPr>
              <w:t xml:space="preserve">引言 </w:t>
            </w:r>
          </w:p>
        </w:tc>
        <w:tc>
          <w:tcPr>
            <w:tcW w:w="4540" w:type="dxa"/>
            <w:noWrap w:val="0"/>
            <w:vAlign w:val="center"/>
          </w:tcPr>
          <w:p w14:paraId="3F1B5C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1"/>
                <w:szCs w:val="21"/>
                <w:lang w:val="en-US" w:eastAsia="zh-CN"/>
              </w:rPr>
              <w:t>部分整体内容调整为单倍行距</w:t>
            </w:r>
          </w:p>
        </w:tc>
        <w:tc>
          <w:tcPr>
            <w:tcW w:w="2287" w:type="dxa"/>
            <w:shd w:val="clear" w:color="auto" w:fill="auto"/>
            <w:noWrap w:val="0"/>
            <w:vAlign w:val="center"/>
          </w:tcPr>
          <w:p w14:paraId="1DA2B4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宁夏食品协会</w:t>
            </w:r>
          </w:p>
          <w:p w14:paraId="3EFB73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季瑞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 w14:paraId="03B849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全部采纳。</w:t>
            </w:r>
          </w:p>
        </w:tc>
      </w:tr>
      <w:tr w14:paraId="5E602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358DA5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4022" w:type="dxa"/>
            <w:noWrap w:val="0"/>
            <w:vAlign w:val="center"/>
          </w:tcPr>
          <w:p w14:paraId="796782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第2章 规范性引用文件</w:t>
            </w:r>
          </w:p>
        </w:tc>
        <w:tc>
          <w:tcPr>
            <w:tcW w:w="4540" w:type="dxa"/>
            <w:noWrap w:val="0"/>
            <w:vAlign w:val="center"/>
          </w:tcPr>
          <w:p w14:paraId="461AA3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规范性引用文件国标按顺序号从小到大排列，标准名称和编号之间统一空一个汉字；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HG/T 4215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正文未引用删除，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NY/T 2267正文中引用，列入规范性引用文件；</w:t>
            </w:r>
          </w:p>
        </w:tc>
        <w:tc>
          <w:tcPr>
            <w:tcW w:w="2287" w:type="dxa"/>
            <w:shd w:val="clear" w:color="auto" w:fill="auto"/>
            <w:noWrap w:val="0"/>
            <w:vAlign w:val="center"/>
          </w:tcPr>
          <w:p w14:paraId="3D22AF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宁夏食品协会</w:t>
            </w:r>
          </w:p>
          <w:p w14:paraId="21E89B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季瑞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 w14:paraId="04C8E8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全部采纳。</w:t>
            </w:r>
          </w:p>
        </w:tc>
      </w:tr>
      <w:tr w14:paraId="1DA62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4588C5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4022" w:type="dxa"/>
            <w:noWrap w:val="0"/>
            <w:vAlign w:val="center"/>
          </w:tcPr>
          <w:p w14:paraId="3F9C75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第3章 术语和定义</w:t>
            </w:r>
          </w:p>
        </w:tc>
        <w:tc>
          <w:tcPr>
            <w:tcW w:w="4540" w:type="dxa"/>
            <w:noWrap w:val="0"/>
            <w:vAlign w:val="center"/>
          </w:tcPr>
          <w:p w14:paraId="56F6C3B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条目编号上下无空行，术语后加英文翻译，字体为五号黑体；</w:t>
            </w:r>
          </w:p>
        </w:tc>
        <w:tc>
          <w:tcPr>
            <w:tcW w:w="2287" w:type="dxa"/>
            <w:noWrap w:val="0"/>
            <w:vAlign w:val="center"/>
          </w:tcPr>
          <w:p w14:paraId="003F40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宁夏食品协会</w:t>
            </w:r>
          </w:p>
          <w:p w14:paraId="7A606D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季瑞</w:t>
            </w:r>
          </w:p>
        </w:tc>
        <w:tc>
          <w:tcPr>
            <w:tcW w:w="2787" w:type="dxa"/>
            <w:noWrap w:val="0"/>
            <w:vAlign w:val="center"/>
          </w:tcPr>
          <w:p w14:paraId="60020C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全部采纳。</w:t>
            </w:r>
          </w:p>
        </w:tc>
      </w:tr>
      <w:tr w14:paraId="62F24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6552C9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4022" w:type="dxa"/>
            <w:noWrap w:val="0"/>
            <w:vAlign w:val="center"/>
          </w:tcPr>
          <w:p w14:paraId="7CF3F5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5.2 小麦专用控释型配方肥</w:t>
            </w:r>
          </w:p>
        </w:tc>
        <w:tc>
          <w:tcPr>
            <w:tcW w:w="4540" w:type="dxa"/>
            <w:noWrap w:val="0"/>
            <w:vAlign w:val="center"/>
          </w:tcPr>
          <w:p w14:paraId="619D868E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字体为五号宋体，段落调整为单倍行距；表1和表2字体全部调整为小五号宋体；5.2.1.2段落调整为单倍行距；</w:t>
            </w:r>
          </w:p>
        </w:tc>
        <w:tc>
          <w:tcPr>
            <w:tcW w:w="2287" w:type="dxa"/>
            <w:noWrap w:val="0"/>
            <w:vAlign w:val="center"/>
          </w:tcPr>
          <w:p w14:paraId="2A6F04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宁夏食品协会</w:t>
            </w:r>
          </w:p>
          <w:p w14:paraId="6F31D9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季瑞</w:t>
            </w:r>
          </w:p>
        </w:tc>
        <w:tc>
          <w:tcPr>
            <w:tcW w:w="2787" w:type="dxa"/>
            <w:noWrap w:val="0"/>
            <w:vAlign w:val="center"/>
          </w:tcPr>
          <w:p w14:paraId="52DCF6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全部采纳。</w:t>
            </w:r>
          </w:p>
        </w:tc>
      </w:tr>
      <w:tr w14:paraId="08AAD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77928C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7</w:t>
            </w:r>
          </w:p>
        </w:tc>
        <w:tc>
          <w:tcPr>
            <w:tcW w:w="4022" w:type="dxa"/>
            <w:noWrap w:val="0"/>
            <w:vAlign w:val="center"/>
          </w:tcPr>
          <w:p w14:paraId="0F677F74">
            <w:pPr>
              <w:pStyle w:val="20"/>
              <w:keepNext w:val="0"/>
              <w:keepLines w:val="0"/>
              <w:pageBreakBefore w:val="0"/>
              <w:numPr>
                <w:ilvl w:val="3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156" w:after="156" w:line="400" w:lineRule="exact"/>
              <w:ind w:left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第5.2.1引（扬）黄灌区和5.2.1.1施肥量，5.2.2宁南山区和5.2.2.1施肥量</w:t>
            </w:r>
          </w:p>
        </w:tc>
        <w:tc>
          <w:tcPr>
            <w:tcW w:w="4540" w:type="dxa"/>
            <w:noWrap w:val="0"/>
            <w:vAlign w:val="center"/>
          </w:tcPr>
          <w:p w14:paraId="691900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5.2.1和5.2.1.1，5.2.2和5.2.2.1之间的悬置段进行调整。</w:t>
            </w:r>
          </w:p>
        </w:tc>
        <w:tc>
          <w:tcPr>
            <w:tcW w:w="2287" w:type="dxa"/>
            <w:noWrap w:val="0"/>
            <w:vAlign w:val="center"/>
          </w:tcPr>
          <w:p w14:paraId="5E9282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宁夏食品协会</w:t>
            </w:r>
          </w:p>
          <w:p w14:paraId="09E208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季瑞</w:t>
            </w:r>
          </w:p>
        </w:tc>
        <w:tc>
          <w:tcPr>
            <w:tcW w:w="2787" w:type="dxa"/>
            <w:noWrap w:val="0"/>
            <w:vAlign w:val="center"/>
          </w:tcPr>
          <w:p w14:paraId="2772F0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全部采纳。</w:t>
            </w:r>
          </w:p>
        </w:tc>
      </w:tr>
      <w:tr w14:paraId="4CCD7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74AF00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8</w:t>
            </w:r>
          </w:p>
        </w:tc>
        <w:tc>
          <w:tcPr>
            <w:tcW w:w="4022" w:type="dxa"/>
            <w:noWrap w:val="0"/>
            <w:vAlign w:val="center"/>
          </w:tcPr>
          <w:p w14:paraId="6EAD7E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规范结构</w:t>
            </w:r>
          </w:p>
        </w:tc>
        <w:tc>
          <w:tcPr>
            <w:tcW w:w="4540" w:type="dxa"/>
            <w:noWrap w:val="0"/>
            <w:vAlign w:val="center"/>
          </w:tcPr>
          <w:p w14:paraId="7BD18B1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结构问题与大豆玉米类似。</w:t>
            </w:r>
          </w:p>
        </w:tc>
        <w:tc>
          <w:tcPr>
            <w:tcW w:w="2287" w:type="dxa"/>
            <w:noWrap w:val="0"/>
            <w:vAlign w:val="center"/>
          </w:tcPr>
          <w:p w14:paraId="1C2F58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宁夏农业勘察设计院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</w:p>
          <w:p w14:paraId="4FD970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马金虎</w:t>
            </w:r>
          </w:p>
        </w:tc>
        <w:tc>
          <w:tcPr>
            <w:tcW w:w="2787" w:type="dxa"/>
            <w:noWrap w:val="0"/>
            <w:vAlign w:val="center"/>
          </w:tcPr>
          <w:p w14:paraId="67C750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全部采纳。</w:t>
            </w:r>
          </w:p>
        </w:tc>
      </w:tr>
      <w:tr w14:paraId="4291D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679586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4022" w:type="dxa"/>
            <w:noWrap w:val="0"/>
            <w:vAlign w:val="center"/>
          </w:tcPr>
          <w:p w14:paraId="0955C082">
            <w:pPr>
              <w:pStyle w:val="19"/>
              <w:keepNext w:val="0"/>
              <w:keepLines w:val="0"/>
              <w:pageBreakBefore w:val="0"/>
              <w:numPr>
                <w:ilvl w:val="4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156" w:after="156" w:line="400" w:lineRule="exact"/>
              <w:ind w:left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第5.2.1.1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施肥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量</w:t>
            </w:r>
          </w:p>
        </w:tc>
        <w:tc>
          <w:tcPr>
            <w:tcW w:w="4540" w:type="dxa"/>
            <w:noWrap w:val="0"/>
            <w:vAlign w:val="center"/>
          </w:tcPr>
          <w:p w14:paraId="479606D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灌区春小麦产低了，这几年亩产700多公斤示范点多。</w:t>
            </w:r>
          </w:p>
        </w:tc>
        <w:tc>
          <w:tcPr>
            <w:tcW w:w="2287" w:type="dxa"/>
            <w:noWrap w:val="0"/>
            <w:vAlign w:val="center"/>
          </w:tcPr>
          <w:p w14:paraId="3009E4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宁夏农业勘察设计院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</w:p>
          <w:p w14:paraId="291C32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马金虎</w:t>
            </w:r>
          </w:p>
        </w:tc>
        <w:tc>
          <w:tcPr>
            <w:tcW w:w="2787" w:type="dxa"/>
            <w:noWrap w:val="0"/>
            <w:vAlign w:val="center"/>
          </w:tcPr>
          <w:p w14:paraId="6CA680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部分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采纳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经过多地调研，春小麦产量确有提升，原基础上增加了600kg/亩产量水平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。</w:t>
            </w:r>
          </w:p>
        </w:tc>
      </w:tr>
      <w:tr w14:paraId="3A6FA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48AF18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022" w:type="dxa"/>
            <w:noWrap w:val="0"/>
            <w:vAlign w:val="center"/>
          </w:tcPr>
          <w:p w14:paraId="044F2F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第5.2.2.1 施肥量</w:t>
            </w:r>
          </w:p>
        </w:tc>
        <w:tc>
          <w:tcPr>
            <w:tcW w:w="4540" w:type="dxa"/>
            <w:noWrap w:val="0"/>
            <w:vAlign w:val="center"/>
          </w:tcPr>
          <w:p w14:paraId="5ACCC9F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山区只有冬麦施肥表，没有春麦的；同时冬麦产量也大低了，降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量好的年份，冬麦、春麦都有亩产400-500公斤示范点。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建议增加春麦。</w:t>
            </w:r>
          </w:p>
        </w:tc>
        <w:tc>
          <w:tcPr>
            <w:tcW w:w="2287" w:type="dxa"/>
            <w:shd w:val="clear" w:color="auto" w:fill="auto"/>
            <w:noWrap w:val="0"/>
            <w:vAlign w:val="center"/>
          </w:tcPr>
          <w:p w14:paraId="0E1FD8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宁夏农业勘察设计院</w:t>
            </w:r>
          </w:p>
          <w:p w14:paraId="0BAF72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bookmarkStart w:id="3" w:name="_GoBack"/>
            <w:bookmarkEnd w:id="3"/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马金虎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 w14:paraId="3AD1DF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全部采纳。</w:t>
            </w:r>
          </w:p>
        </w:tc>
      </w:tr>
      <w:tr w14:paraId="55236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5A6D9D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4022" w:type="dxa"/>
            <w:noWrap w:val="0"/>
            <w:vAlign w:val="center"/>
          </w:tcPr>
          <w:p w14:paraId="71744D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编制说明</w:t>
            </w:r>
          </w:p>
        </w:tc>
        <w:tc>
          <w:tcPr>
            <w:tcW w:w="4540" w:type="dxa"/>
            <w:noWrap w:val="0"/>
            <w:vAlign w:val="center"/>
          </w:tcPr>
          <w:p w14:paraId="19FB45D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在编制说明中把小麦不追肥的技术依据写清楚。</w:t>
            </w:r>
          </w:p>
        </w:tc>
        <w:tc>
          <w:tcPr>
            <w:tcW w:w="2287" w:type="dxa"/>
            <w:noWrap w:val="0"/>
            <w:vAlign w:val="center"/>
          </w:tcPr>
          <w:p w14:paraId="2C3785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宁夏农业勘察设计院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</w:p>
          <w:p w14:paraId="769361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马金虎</w:t>
            </w:r>
          </w:p>
        </w:tc>
        <w:tc>
          <w:tcPr>
            <w:tcW w:w="2787" w:type="dxa"/>
            <w:noWrap w:val="0"/>
            <w:vAlign w:val="center"/>
          </w:tcPr>
          <w:p w14:paraId="683E4F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全部采纳。</w:t>
            </w:r>
          </w:p>
        </w:tc>
      </w:tr>
      <w:tr w14:paraId="134EF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02AEA3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4022" w:type="dxa"/>
            <w:noWrap w:val="0"/>
            <w:vAlign w:val="center"/>
          </w:tcPr>
          <w:p w14:paraId="6105F5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instrText xml:space="preserve"> HYPERLINK "5.2.1.2" </w:instrTex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6"/>
                <w:sz w:val="21"/>
                <w:szCs w:val="21"/>
              </w:rPr>
              <w:t>5.2.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6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6"/>
                <w:sz w:val="21"/>
                <w:szCs w:val="21"/>
              </w:rPr>
              <w:t>.2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6"/>
                <w:sz w:val="21"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6"/>
                <w:sz w:val="21"/>
                <w:szCs w:val="21"/>
              </w:rPr>
              <w:t>施肥方法</w:t>
            </w:r>
          </w:p>
        </w:tc>
        <w:tc>
          <w:tcPr>
            <w:tcW w:w="4540" w:type="dxa"/>
            <w:noWrap w:val="0"/>
            <w:vAlign w:val="center"/>
          </w:tcPr>
          <w:p w14:paraId="1AA412BB">
            <w:pPr>
              <w:pStyle w:val="2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16" w:line="400" w:lineRule="exact"/>
              <w:ind w:left="103" w:right="117" w:firstLine="27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建议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修改为：将小麦专用缓释型配方肥全部作基肥或种肥一 次性机械深施。作基肥时用撒肥机均匀撒在地表，用旋耕机械及时将肥 料施入土壤中，或采用条播机进行条施后播种；采取种肥同播时选用宽 幅双行沟播播种机将肥全部施入土壤，施肥、播种、覆土、镇压同时完 成，播种时带种肥磷酸二铵4 kg/667 ㎡～ 6 kg/667 ㎡。施肥深度以8 cm ～ 10 cm为宜，确保种子与肥料间隔4 cm ～ 8 cm。</w:t>
            </w:r>
          </w:p>
        </w:tc>
        <w:tc>
          <w:tcPr>
            <w:tcW w:w="2287" w:type="dxa"/>
            <w:noWrap w:val="0"/>
            <w:vAlign w:val="center"/>
          </w:tcPr>
          <w:p w14:paraId="26D807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  <w:sz w:val="21"/>
                <w:szCs w:val="21"/>
                <w:lang w:eastAsia="zh-CN"/>
              </w:rPr>
              <w:t>宁夏农林科学院</w:t>
            </w:r>
          </w:p>
          <w:p w14:paraId="15C45B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  <w:sz w:val="21"/>
                <w:szCs w:val="21"/>
              </w:rPr>
              <w:t>宋玉霞</w:t>
            </w:r>
          </w:p>
        </w:tc>
        <w:tc>
          <w:tcPr>
            <w:tcW w:w="2787" w:type="dxa"/>
            <w:noWrap w:val="0"/>
            <w:vAlign w:val="center"/>
          </w:tcPr>
          <w:p w14:paraId="51CDF2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全部采纳。</w:t>
            </w:r>
          </w:p>
        </w:tc>
      </w:tr>
      <w:tr w14:paraId="78DC9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7C9360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4022" w:type="dxa"/>
            <w:noWrap w:val="0"/>
            <w:vAlign w:val="center"/>
          </w:tcPr>
          <w:p w14:paraId="74349E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15"/>
                <w:sz w:val="21"/>
                <w:szCs w:val="21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15"/>
                <w:sz w:val="21"/>
                <w:szCs w:val="21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15"/>
                <w:sz w:val="21"/>
                <w:szCs w:val="21"/>
                <w:lang w:eastAsia="zh-CN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15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15"/>
                <w:sz w:val="21"/>
                <w:szCs w:val="21"/>
              </w:rPr>
              <w:t>病虫草害防治</w:t>
            </w:r>
          </w:p>
        </w:tc>
        <w:tc>
          <w:tcPr>
            <w:tcW w:w="4540" w:type="dxa"/>
            <w:noWrap w:val="0"/>
            <w:vAlign w:val="center"/>
          </w:tcPr>
          <w:p w14:paraId="0C55CDE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15"/>
                <w:sz w:val="21"/>
                <w:szCs w:val="21"/>
                <w:highlight w:val="none"/>
              </w:rPr>
              <w:t>建议最好提出具体防治方法、药剂等，列表附录。</w:t>
            </w:r>
          </w:p>
        </w:tc>
        <w:tc>
          <w:tcPr>
            <w:tcW w:w="2287" w:type="dxa"/>
            <w:noWrap w:val="0"/>
            <w:vAlign w:val="center"/>
          </w:tcPr>
          <w:p w14:paraId="28625E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  <w:sz w:val="21"/>
                <w:szCs w:val="21"/>
                <w:lang w:eastAsia="zh-CN"/>
              </w:rPr>
              <w:t>宁夏农林科学院</w:t>
            </w:r>
          </w:p>
          <w:p w14:paraId="61568F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  <w:sz w:val="21"/>
                <w:szCs w:val="21"/>
              </w:rPr>
              <w:t>宋玉霞</w:t>
            </w:r>
          </w:p>
        </w:tc>
        <w:tc>
          <w:tcPr>
            <w:tcW w:w="2787" w:type="dxa"/>
            <w:noWrap w:val="0"/>
            <w:vAlign w:val="center"/>
          </w:tcPr>
          <w:p w14:paraId="308B6F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部分采纳：已提出防治方法、药剂参考标准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。</w:t>
            </w:r>
          </w:p>
        </w:tc>
      </w:tr>
      <w:tr w14:paraId="02C63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493E17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4022" w:type="dxa"/>
            <w:noWrap w:val="0"/>
            <w:vAlign w:val="center"/>
          </w:tcPr>
          <w:p w14:paraId="672752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15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15"/>
                <w:sz w:val="21"/>
                <w:szCs w:val="21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15"/>
                <w:sz w:val="21"/>
                <w:szCs w:val="21"/>
                <w:lang w:val="en-US" w:eastAsia="zh-CN"/>
              </w:rPr>
              <w:t>4.1引（扬）黄灌区春小麦</w:t>
            </w:r>
          </w:p>
        </w:tc>
        <w:tc>
          <w:tcPr>
            <w:tcW w:w="4540" w:type="dxa"/>
            <w:noWrap w:val="0"/>
            <w:vAlign w:val="center"/>
          </w:tcPr>
          <w:p w14:paraId="34F4549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15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11"/>
                <w:sz w:val="21"/>
                <w:szCs w:val="21"/>
                <w:highlight w:val="none"/>
                <w:lang w:eastAsia="zh-CN"/>
              </w:rPr>
              <w:t>删除“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11"/>
                <w:sz w:val="21"/>
                <w:szCs w:val="21"/>
                <w:highlight w:val="none"/>
              </w:rPr>
              <w:t>为提高播种质量，保证全苗、壮苗打好基础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11"/>
                <w:sz w:val="21"/>
                <w:szCs w:val="21"/>
                <w:highlight w:val="none"/>
                <w:lang w:eastAsia="zh-CN"/>
              </w:rPr>
              <w:t>”</w:t>
            </w:r>
          </w:p>
        </w:tc>
        <w:tc>
          <w:tcPr>
            <w:tcW w:w="2287" w:type="dxa"/>
            <w:noWrap w:val="0"/>
            <w:vAlign w:val="center"/>
          </w:tcPr>
          <w:p w14:paraId="23C02A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  <w:sz w:val="21"/>
                <w:szCs w:val="21"/>
                <w:lang w:eastAsia="zh-CN"/>
              </w:rPr>
              <w:t>宁夏农林科学院</w:t>
            </w:r>
          </w:p>
          <w:p w14:paraId="70F5FE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  <w:sz w:val="21"/>
                <w:szCs w:val="21"/>
              </w:rPr>
              <w:t>宋玉霞</w:t>
            </w:r>
          </w:p>
        </w:tc>
        <w:tc>
          <w:tcPr>
            <w:tcW w:w="2787" w:type="dxa"/>
            <w:noWrap w:val="0"/>
            <w:vAlign w:val="center"/>
          </w:tcPr>
          <w:p w14:paraId="279D4F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全部采纳。</w:t>
            </w:r>
          </w:p>
        </w:tc>
      </w:tr>
      <w:tr w14:paraId="52D3E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4544C1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4022" w:type="dxa"/>
            <w:noWrap w:val="0"/>
            <w:vAlign w:val="center"/>
          </w:tcPr>
          <w:p w14:paraId="60FCB6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第1章 范围</w:t>
            </w:r>
          </w:p>
        </w:tc>
        <w:tc>
          <w:tcPr>
            <w:tcW w:w="4540" w:type="dxa"/>
            <w:noWrap w:val="0"/>
            <w:vAlign w:val="center"/>
          </w:tcPr>
          <w:p w14:paraId="0C72627F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范围中表述完整：本文件规定了小麦一次性施肥技术的整地、播种、施肥量与施肥方法、灌溉、病虫草害防治、收获及生产档案记载等技术要求。</w:t>
            </w:r>
          </w:p>
        </w:tc>
        <w:tc>
          <w:tcPr>
            <w:tcW w:w="2287" w:type="dxa"/>
            <w:noWrap w:val="0"/>
            <w:vAlign w:val="center"/>
          </w:tcPr>
          <w:p w14:paraId="3A7F33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  <w:sz w:val="21"/>
                <w:szCs w:val="21"/>
                <w:lang w:eastAsia="zh-CN"/>
              </w:rPr>
              <w:t>宁夏农林科学院</w:t>
            </w:r>
          </w:p>
          <w:p w14:paraId="661063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张艳</w:t>
            </w:r>
          </w:p>
        </w:tc>
        <w:tc>
          <w:tcPr>
            <w:tcW w:w="2787" w:type="dxa"/>
            <w:noWrap w:val="0"/>
            <w:vAlign w:val="center"/>
          </w:tcPr>
          <w:p w14:paraId="353F6E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全部采纳。</w:t>
            </w:r>
          </w:p>
        </w:tc>
      </w:tr>
      <w:tr w14:paraId="60F90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78760B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4022" w:type="dxa"/>
            <w:noWrap w:val="0"/>
            <w:vAlign w:val="center"/>
          </w:tcPr>
          <w:p w14:paraId="147435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第3章 术语和定义</w:t>
            </w:r>
          </w:p>
        </w:tc>
        <w:tc>
          <w:tcPr>
            <w:tcW w:w="4540" w:type="dxa"/>
            <w:noWrap w:val="0"/>
            <w:vAlign w:val="center"/>
          </w:tcPr>
          <w:p w14:paraId="6D54FC27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3.1术语定义在文本中未涉及，删除。</w:t>
            </w:r>
          </w:p>
          <w:p w14:paraId="7DEE07B1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3.2术语 删除小麦，为：一次性施肥技术。定义中“小麦”修改为“作物”</w:t>
            </w:r>
          </w:p>
        </w:tc>
        <w:tc>
          <w:tcPr>
            <w:tcW w:w="2287" w:type="dxa"/>
            <w:shd w:val="clear" w:color="auto" w:fill="auto"/>
            <w:noWrap w:val="0"/>
            <w:vAlign w:val="center"/>
          </w:tcPr>
          <w:p w14:paraId="582939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  <w:sz w:val="21"/>
                <w:szCs w:val="21"/>
                <w:highlight w:val="none"/>
                <w:lang w:eastAsia="zh-CN"/>
              </w:rPr>
              <w:t>宁夏农林科学院</w:t>
            </w:r>
          </w:p>
          <w:p w14:paraId="5687296D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16" w:leftChars="5" w:firstLine="193" w:firstLineChars="92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/>
              </w:rPr>
              <w:t>张艳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 w14:paraId="005AB034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16" w:leftChars="5" w:firstLine="193" w:firstLineChars="92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/>
              </w:rPr>
              <w:t>部分采纳：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3.1术语定义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/>
              </w:rPr>
              <w:t>在5.3又作详细要求。</w:t>
            </w:r>
          </w:p>
        </w:tc>
      </w:tr>
      <w:tr w14:paraId="5C040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2ABEAA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4022" w:type="dxa"/>
            <w:noWrap w:val="0"/>
            <w:vAlign w:val="center"/>
          </w:tcPr>
          <w:p w14:paraId="556051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第4章 整地、播种</w:t>
            </w:r>
          </w:p>
        </w:tc>
        <w:tc>
          <w:tcPr>
            <w:tcW w:w="4540" w:type="dxa"/>
            <w:noWrap w:val="0"/>
            <w:vAlign w:val="center"/>
          </w:tcPr>
          <w:p w14:paraId="5FA17B41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整地、播种章节中未对“播种”进行表述或按相关标准执行。建议分两章分别表述。</w:t>
            </w:r>
          </w:p>
        </w:tc>
        <w:tc>
          <w:tcPr>
            <w:tcW w:w="2287" w:type="dxa"/>
            <w:shd w:val="clear" w:color="auto" w:fill="auto"/>
            <w:noWrap w:val="0"/>
            <w:vAlign w:val="center"/>
          </w:tcPr>
          <w:p w14:paraId="1A0BE2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  <w:sz w:val="21"/>
                <w:szCs w:val="21"/>
                <w:highlight w:val="none"/>
                <w:lang w:eastAsia="zh-CN"/>
              </w:rPr>
              <w:t>宁夏农林科学院</w:t>
            </w:r>
          </w:p>
          <w:p w14:paraId="70BD5333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16" w:leftChars="5" w:firstLine="193" w:firstLineChars="92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/>
              </w:rPr>
              <w:t>张艳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 w14:paraId="74A9D81B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16" w:leftChars="5" w:firstLine="193" w:firstLineChars="92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/>
              </w:rPr>
              <w:t>全部采纳。</w:t>
            </w:r>
          </w:p>
        </w:tc>
      </w:tr>
      <w:tr w14:paraId="3F921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631659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4022" w:type="dxa"/>
            <w:noWrap w:val="0"/>
            <w:vAlign w:val="center"/>
          </w:tcPr>
          <w:p w14:paraId="08C183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第5章 5.2小麦专用缓释型配方肥</w:t>
            </w:r>
          </w:p>
        </w:tc>
        <w:tc>
          <w:tcPr>
            <w:tcW w:w="4540" w:type="dxa"/>
            <w:noWrap w:val="0"/>
            <w:vAlign w:val="center"/>
          </w:tcPr>
          <w:p w14:paraId="2EF59EC9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5.2中引用的标准NY/T 2267未列在</w:t>
            </w:r>
            <w:bookmarkStart w:id="0" w:name="_Toc26718931"/>
            <w:bookmarkStart w:id="1" w:name="_Toc26986772"/>
            <w:bookmarkStart w:id="2" w:name="_Toc26986531"/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规范性引用文件</w:t>
            </w:r>
            <w:bookmarkEnd w:id="0"/>
            <w:bookmarkEnd w:id="1"/>
            <w:bookmarkEnd w:id="2"/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中。HG/T 4215 控释肥料标准文本中未引用。</w:t>
            </w:r>
          </w:p>
        </w:tc>
        <w:tc>
          <w:tcPr>
            <w:tcW w:w="2287" w:type="dxa"/>
            <w:shd w:val="clear" w:color="auto" w:fill="auto"/>
            <w:noWrap w:val="0"/>
            <w:vAlign w:val="center"/>
          </w:tcPr>
          <w:p w14:paraId="0C62CE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  <w:sz w:val="21"/>
                <w:szCs w:val="21"/>
                <w:lang w:eastAsia="zh-CN"/>
              </w:rPr>
              <w:t>宁夏农林科学院</w:t>
            </w:r>
          </w:p>
          <w:p w14:paraId="74A3896B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16" w:leftChars="5" w:firstLine="193" w:firstLineChars="92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张艳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 w14:paraId="4FD66ECD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16" w:leftChars="5" w:firstLine="193" w:firstLineChars="92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全部采纳。</w:t>
            </w:r>
          </w:p>
        </w:tc>
      </w:tr>
      <w:tr w14:paraId="0FD63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7D5C42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4022" w:type="dxa"/>
            <w:noWrap w:val="0"/>
            <w:vAlign w:val="center"/>
          </w:tcPr>
          <w:p w14:paraId="08A2E9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5.2.1.1施肥量和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5.2.2.1施肥量</w:t>
            </w:r>
          </w:p>
        </w:tc>
        <w:tc>
          <w:tcPr>
            <w:tcW w:w="4540" w:type="dxa"/>
            <w:noWrap w:val="0"/>
            <w:vAlign w:val="center"/>
          </w:tcPr>
          <w:p w14:paraId="1BB97FF3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建议 表1修改为</w:t>
            </w:r>
          </w:p>
          <w:tbl>
            <w:tblPr>
              <w:tblStyle w:val="5"/>
              <w:tblW w:w="0" w:type="auto"/>
              <w:jc w:val="center"/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32"/>
              <w:gridCol w:w="1016"/>
              <w:gridCol w:w="820"/>
              <w:gridCol w:w="820"/>
              <w:gridCol w:w="1216"/>
            </w:tblGrid>
            <w:tr w14:paraId="66A6AFBD">
              <w:tblPrEx>
                <w:tblBorders>
                  <w:top w:val="single" w:color="auto" w:sz="8" w:space="0"/>
                  <w:left w:val="single" w:color="auto" w:sz="8" w:space="0"/>
                  <w:bottom w:val="single" w:color="auto" w:sz="8" w:space="0"/>
                  <w:right w:val="single" w:color="auto" w:sz="8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Header/>
                <w:jc w:val="center"/>
              </w:trPr>
              <w:tc>
                <w:tcPr>
                  <w:tcW w:w="1866" w:type="dxa"/>
                  <w:vMerge w:val="restart"/>
                  <w:tcBorders>
                    <w:top w:val="single" w:color="auto" w:sz="8" w:space="0"/>
                  </w:tcBorders>
                  <w:noWrap w:val="0"/>
                  <w:vAlign w:val="center"/>
                </w:tcPr>
                <w:p w14:paraId="082792A2">
                  <w:pPr>
                    <w:pStyle w:val="2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  <w:t>产量水平</w:t>
                  </w:r>
                </w:p>
              </w:tc>
              <w:tc>
                <w:tcPr>
                  <w:tcW w:w="5601" w:type="dxa"/>
                  <w:gridSpan w:val="3"/>
                  <w:tcBorders>
                    <w:top w:val="single" w:color="auto" w:sz="8" w:space="0"/>
                    <w:bottom w:val="single" w:color="auto" w:sz="8" w:space="0"/>
                  </w:tcBorders>
                  <w:noWrap w:val="0"/>
                  <w:vAlign w:val="center"/>
                </w:tcPr>
                <w:p w14:paraId="4F6F2BE5">
                  <w:pPr>
                    <w:pStyle w:val="2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  <w:t>养分施用量</w:t>
                  </w:r>
                </w:p>
              </w:tc>
              <w:tc>
                <w:tcPr>
                  <w:tcW w:w="1867" w:type="dxa"/>
                  <w:vMerge w:val="restart"/>
                  <w:tcBorders>
                    <w:top w:val="single" w:color="auto" w:sz="8" w:space="0"/>
                  </w:tcBorders>
                  <w:noWrap w:val="0"/>
                  <w:vAlign w:val="center"/>
                </w:tcPr>
                <w:p w14:paraId="339EF546">
                  <w:pPr>
                    <w:pStyle w:val="2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  <w:t>小麦专用控释型配方肥52%（32-13-7）</w:t>
                  </w:r>
                </w:p>
              </w:tc>
            </w:tr>
            <w:tr w14:paraId="72389DD5">
              <w:tblPrEx>
                <w:tblBorders>
                  <w:top w:val="single" w:color="auto" w:sz="8" w:space="0"/>
                  <w:left w:val="single" w:color="auto" w:sz="8" w:space="0"/>
                  <w:bottom w:val="single" w:color="auto" w:sz="8" w:space="0"/>
                  <w:right w:val="single" w:color="auto" w:sz="8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Header/>
                <w:jc w:val="center"/>
              </w:trPr>
              <w:tc>
                <w:tcPr>
                  <w:tcW w:w="1866" w:type="dxa"/>
                  <w:vMerge w:val="continue"/>
                  <w:tcBorders>
                    <w:bottom w:val="single" w:color="auto" w:sz="8" w:space="0"/>
                  </w:tcBorders>
                  <w:noWrap w:val="0"/>
                  <w:vAlign w:val="center"/>
                </w:tcPr>
                <w:p w14:paraId="3C2B5023">
                  <w:pPr>
                    <w:pStyle w:val="2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</w:pPr>
                </w:p>
              </w:tc>
              <w:tc>
                <w:tcPr>
                  <w:tcW w:w="1867" w:type="dxa"/>
                  <w:tcBorders>
                    <w:top w:val="single" w:color="auto" w:sz="8" w:space="0"/>
                    <w:bottom w:val="single" w:color="auto" w:sz="8" w:space="0"/>
                  </w:tcBorders>
                  <w:noWrap w:val="0"/>
                  <w:vAlign w:val="center"/>
                </w:tcPr>
                <w:p w14:paraId="6848CD73">
                  <w:pPr>
                    <w:pStyle w:val="2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  <w:t>N</w:t>
                  </w:r>
                </w:p>
              </w:tc>
              <w:tc>
                <w:tcPr>
                  <w:tcW w:w="1867" w:type="dxa"/>
                  <w:tcBorders>
                    <w:top w:val="single" w:color="auto" w:sz="8" w:space="0"/>
                    <w:bottom w:val="single" w:color="auto" w:sz="8" w:space="0"/>
                  </w:tcBorders>
                  <w:noWrap w:val="0"/>
                  <w:vAlign w:val="center"/>
                </w:tcPr>
                <w:p w14:paraId="35E8DFB9">
                  <w:pPr>
                    <w:pStyle w:val="2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  <w:t>P</w:t>
                  </w: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  <w:vertAlign w:val="subscript"/>
                    </w:rPr>
                    <w:t>2</w:t>
                  </w: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  <w:t>O</w:t>
                  </w: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  <w:vertAlign w:val="subscript"/>
                    </w:rPr>
                    <w:t>5</w:t>
                  </w:r>
                </w:p>
              </w:tc>
              <w:tc>
                <w:tcPr>
                  <w:tcW w:w="1867" w:type="dxa"/>
                  <w:tcBorders>
                    <w:top w:val="single" w:color="auto" w:sz="8" w:space="0"/>
                    <w:bottom w:val="single" w:color="auto" w:sz="8" w:space="0"/>
                  </w:tcBorders>
                  <w:noWrap w:val="0"/>
                  <w:vAlign w:val="center"/>
                </w:tcPr>
                <w:p w14:paraId="0AAFCA20">
                  <w:pPr>
                    <w:pStyle w:val="2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  <w:t>K</w:t>
                  </w: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  <w:vertAlign w:val="subscript"/>
                    </w:rPr>
                    <w:t>2</w:t>
                  </w: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  <w:t>O</w:t>
                  </w:r>
                </w:p>
              </w:tc>
              <w:tc>
                <w:tcPr>
                  <w:tcW w:w="1867" w:type="dxa"/>
                  <w:vMerge w:val="continue"/>
                  <w:tcBorders>
                    <w:bottom w:val="single" w:color="auto" w:sz="8" w:space="0"/>
                  </w:tcBorders>
                  <w:noWrap w:val="0"/>
                  <w:vAlign w:val="center"/>
                </w:tcPr>
                <w:p w14:paraId="0E51B5E8">
                  <w:pPr>
                    <w:pStyle w:val="2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</w:pPr>
                </w:p>
              </w:tc>
            </w:tr>
            <w:tr w14:paraId="26791F44">
              <w:tblPrEx>
                <w:tblBorders>
                  <w:top w:val="single" w:color="auto" w:sz="8" w:space="0"/>
                  <w:left w:val="single" w:color="auto" w:sz="8" w:space="0"/>
                  <w:bottom w:val="single" w:color="auto" w:sz="8" w:space="0"/>
                  <w:right w:val="single" w:color="auto" w:sz="8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jc w:val="center"/>
              </w:trPr>
              <w:tc>
                <w:tcPr>
                  <w:tcW w:w="1866" w:type="dxa"/>
                  <w:tcBorders>
                    <w:top w:val="single" w:color="auto" w:sz="8" w:space="0"/>
                  </w:tcBorders>
                  <w:noWrap w:val="0"/>
                  <w:vAlign w:val="center"/>
                </w:tcPr>
                <w:p w14:paraId="7E2441DC">
                  <w:pPr>
                    <w:pStyle w:val="2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  <w:t>400</w:t>
                  </w:r>
                </w:p>
              </w:tc>
              <w:tc>
                <w:tcPr>
                  <w:tcW w:w="1867" w:type="dxa"/>
                  <w:tcBorders>
                    <w:top w:val="single" w:color="auto" w:sz="8" w:space="0"/>
                  </w:tcBorders>
                  <w:noWrap w:val="0"/>
                  <w:vAlign w:val="center"/>
                </w:tcPr>
                <w:p w14:paraId="3482E873">
                  <w:pPr>
                    <w:pStyle w:val="2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  <w:t>11.2~12.8</w:t>
                  </w:r>
                </w:p>
              </w:tc>
              <w:tc>
                <w:tcPr>
                  <w:tcW w:w="1867" w:type="dxa"/>
                  <w:tcBorders>
                    <w:top w:val="single" w:color="auto" w:sz="8" w:space="0"/>
                  </w:tcBorders>
                  <w:noWrap w:val="0"/>
                  <w:vAlign w:val="center"/>
                </w:tcPr>
                <w:p w14:paraId="28FF7627">
                  <w:pPr>
                    <w:pStyle w:val="2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  <w:t>4.6~5.2</w:t>
                  </w:r>
                </w:p>
              </w:tc>
              <w:tc>
                <w:tcPr>
                  <w:tcW w:w="1867" w:type="dxa"/>
                  <w:tcBorders>
                    <w:top w:val="single" w:color="auto" w:sz="8" w:space="0"/>
                  </w:tcBorders>
                  <w:noWrap w:val="0"/>
                  <w:vAlign w:val="center"/>
                </w:tcPr>
                <w:p w14:paraId="208CE73D">
                  <w:pPr>
                    <w:pStyle w:val="2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  <w:t>2.5~2.8</w:t>
                  </w:r>
                </w:p>
              </w:tc>
              <w:tc>
                <w:tcPr>
                  <w:tcW w:w="1867" w:type="dxa"/>
                  <w:tcBorders>
                    <w:top w:val="single" w:color="auto" w:sz="8" w:space="0"/>
                  </w:tcBorders>
                  <w:noWrap w:val="0"/>
                  <w:vAlign w:val="center"/>
                </w:tcPr>
                <w:p w14:paraId="289CEBAE">
                  <w:pPr>
                    <w:pStyle w:val="2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  <w:t>35</w:t>
                  </w: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.2</w:t>
                  </w: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  <w:t>~40</w:t>
                  </w: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.0</w:t>
                  </w:r>
                </w:p>
              </w:tc>
            </w:tr>
            <w:tr w14:paraId="7AAB15E8">
              <w:tblPrEx>
                <w:tblBorders>
                  <w:top w:val="single" w:color="auto" w:sz="8" w:space="0"/>
                  <w:left w:val="single" w:color="auto" w:sz="8" w:space="0"/>
                  <w:bottom w:val="single" w:color="auto" w:sz="8" w:space="0"/>
                  <w:right w:val="single" w:color="auto" w:sz="8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jc w:val="center"/>
              </w:trPr>
              <w:tc>
                <w:tcPr>
                  <w:tcW w:w="1866" w:type="dxa"/>
                  <w:noWrap w:val="0"/>
                  <w:vAlign w:val="center"/>
                </w:tcPr>
                <w:p w14:paraId="560F9CA3">
                  <w:pPr>
                    <w:pStyle w:val="2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  <w:t>500</w:t>
                  </w:r>
                </w:p>
              </w:tc>
              <w:tc>
                <w:tcPr>
                  <w:tcW w:w="1867" w:type="dxa"/>
                  <w:noWrap w:val="0"/>
                  <w:vAlign w:val="center"/>
                </w:tcPr>
                <w:p w14:paraId="5F6CA6C8">
                  <w:pPr>
                    <w:pStyle w:val="2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  <w:t>12.</w:t>
                  </w: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9</w:t>
                  </w: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  <w:t>~14.4</w:t>
                  </w:r>
                </w:p>
              </w:tc>
              <w:tc>
                <w:tcPr>
                  <w:tcW w:w="1867" w:type="dxa"/>
                  <w:noWrap w:val="0"/>
                  <w:vAlign w:val="center"/>
                </w:tcPr>
                <w:p w14:paraId="36E7941C">
                  <w:pPr>
                    <w:pStyle w:val="2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  <w:t>5.</w:t>
                  </w: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3</w:t>
                  </w: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  <w:t>~5.9</w:t>
                  </w:r>
                </w:p>
              </w:tc>
              <w:tc>
                <w:tcPr>
                  <w:tcW w:w="1867" w:type="dxa"/>
                  <w:noWrap w:val="0"/>
                  <w:vAlign w:val="center"/>
                </w:tcPr>
                <w:p w14:paraId="41644A6E">
                  <w:pPr>
                    <w:pStyle w:val="2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  <w:t>2.</w:t>
                  </w: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9</w:t>
                  </w: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  <w:t>~3.2</w:t>
                  </w:r>
                </w:p>
              </w:tc>
              <w:tc>
                <w:tcPr>
                  <w:tcW w:w="1867" w:type="dxa"/>
                  <w:noWrap w:val="0"/>
                  <w:vAlign w:val="center"/>
                </w:tcPr>
                <w:p w14:paraId="2D92FAB4">
                  <w:pPr>
                    <w:pStyle w:val="2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  <w:t>40</w:t>
                  </w: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.6</w:t>
                  </w: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  <w:t>~45</w:t>
                  </w: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.2</w:t>
                  </w:r>
                </w:p>
              </w:tc>
            </w:tr>
            <w:tr w14:paraId="4AAB6FF8">
              <w:tblPrEx>
                <w:tblBorders>
                  <w:top w:val="single" w:color="auto" w:sz="8" w:space="0"/>
                  <w:left w:val="single" w:color="auto" w:sz="8" w:space="0"/>
                  <w:bottom w:val="single" w:color="auto" w:sz="8" w:space="0"/>
                  <w:right w:val="single" w:color="auto" w:sz="8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jc w:val="center"/>
              </w:trPr>
              <w:tc>
                <w:tcPr>
                  <w:tcW w:w="1866" w:type="dxa"/>
                  <w:tcBorders>
                    <w:bottom w:val="single" w:color="auto" w:sz="8" w:space="0"/>
                  </w:tcBorders>
                  <w:noWrap w:val="0"/>
                  <w:vAlign w:val="center"/>
                </w:tcPr>
                <w:p w14:paraId="01D772A9">
                  <w:pPr>
                    <w:pStyle w:val="2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  <w:t>600</w:t>
                  </w:r>
                </w:p>
              </w:tc>
              <w:tc>
                <w:tcPr>
                  <w:tcW w:w="1867" w:type="dxa"/>
                  <w:tcBorders>
                    <w:bottom w:val="single" w:color="auto" w:sz="8" w:space="0"/>
                  </w:tcBorders>
                  <w:noWrap w:val="0"/>
                  <w:vAlign w:val="center"/>
                </w:tcPr>
                <w:p w14:paraId="531E83E3">
                  <w:pPr>
                    <w:pStyle w:val="2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  <w:t>14.</w:t>
                  </w: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5</w:t>
                  </w: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  <w:t>~16.0</w:t>
                  </w:r>
                </w:p>
              </w:tc>
              <w:tc>
                <w:tcPr>
                  <w:tcW w:w="1867" w:type="dxa"/>
                  <w:tcBorders>
                    <w:bottom w:val="single" w:color="auto" w:sz="8" w:space="0"/>
                  </w:tcBorders>
                  <w:noWrap w:val="0"/>
                  <w:vAlign w:val="center"/>
                </w:tcPr>
                <w:p w14:paraId="1B90A46B">
                  <w:pPr>
                    <w:pStyle w:val="2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6.0</w:t>
                  </w: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  <w:t>~6.5</w:t>
                  </w:r>
                </w:p>
              </w:tc>
              <w:tc>
                <w:tcPr>
                  <w:tcW w:w="1867" w:type="dxa"/>
                  <w:tcBorders>
                    <w:bottom w:val="single" w:color="auto" w:sz="8" w:space="0"/>
                  </w:tcBorders>
                  <w:noWrap w:val="0"/>
                  <w:vAlign w:val="center"/>
                </w:tcPr>
                <w:p w14:paraId="77A2B847">
                  <w:pPr>
                    <w:pStyle w:val="2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  <w:t>3.</w:t>
                  </w: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3</w:t>
                  </w: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  <w:t>~3.5</w:t>
                  </w:r>
                </w:p>
              </w:tc>
              <w:tc>
                <w:tcPr>
                  <w:tcW w:w="1867" w:type="dxa"/>
                  <w:tcBorders>
                    <w:bottom w:val="single" w:color="auto" w:sz="8" w:space="0"/>
                  </w:tcBorders>
                  <w:noWrap w:val="0"/>
                  <w:vAlign w:val="center"/>
                </w:tcPr>
                <w:p w14:paraId="628F4C08">
                  <w:pPr>
                    <w:pStyle w:val="2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  <w:t>45</w:t>
                  </w: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.8</w:t>
                  </w: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</w:rPr>
                    <w:t>~50</w:t>
                  </w:r>
                  <w:r>
                    <w:rPr>
                      <w:rFonts w:hint="eastAsia" w:asciiTheme="minorEastAsia" w:hAnsiTheme="minorEastAsia" w:eastAsiaTheme="minorEastAsia" w:cstheme="minorEastAsia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.0</w:t>
                  </w:r>
                </w:p>
              </w:tc>
            </w:tr>
          </w:tbl>
          <w:p w14:paraId="24C287F3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按kg/667㎡施肥，数据要精确到小数点后一位，误差小，更准确。</w:t>
            </w:r>
          </w:p>
          <w:p w14:paraId="28B53097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383" w:leftChars="87" w:hanging="105" w:hangingChars="5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表2按照表1修改。</w:t>
            </w:r>
          </w:p>
        </w:tc>
        <w:tc>
          <w:tcPr>
            <w:tcW w:w="2287" w:type="dxa"/>
            <w:shd w:val="clear" w:color="auto" w:fill="auto"/>
            <w:noWrap w:val="0"/>
            <w:vAlign w:val="center"/>
          </w:tcPr>
          <w:p w14:paraId="24F909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  <w:sz w:val="21"/>
                <w:szCs w:val="21"/>
                <w:lang w:eastAsia="zh-CN"/>
              </w:rPr>
              <w:t>宁夏农林科学院</w:t>
            </w:r>
          </w:p>
          <w:p w14:paraId="5A468B70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16" w:leftChars="5" w:firstLine="193" w:firstLineChars="92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张艳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 w14:paraId="43F455CD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16" w:leftChars="5" w:firstLine="193" w:firstLineChars="92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全部采纳。</w:t>
            </w:r>
          </w:p>
        </w:tc>
      </w:tr>
      <w:tr w14:paraId="61D9A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545E4E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4022" w:type="dxa"/>
            <w:noWrap w:val="0"/>
            <w:vAlign w:val="center"/>
          </w:tcPr>
          <w:p w14:paraId="1A6BEC24">
            <w:pPr>
              <w:pStyle w:val="19"/>
              <w:keepNext w:val="0"/>
              <w:keepLines w:val="0"/>
              <w:pageBreakBefore w:val="0"/>
              <w:numPr>
                <w:ilvl w:val="4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156" w:after="156" w:line="400" w:lineRule="exact"/>
              <w:ind w:left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5.2.1.2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施肥方法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5.2.2.2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施肥方法</w:t>
            </w:r>
          </w:p>
        </w:tc>
        <w:tc>
          <w:tcPr>
            <w:tcW w:w="4540" w:type="dxa"/>
            <w:noWrap w:val="0"/>
            <w:vAlign w:val="center"/>
          </w:tcPr>
          <w:p w14:paraId="74F15003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5.2.1.2和5.2.2.2中关于种子与肥料间隔表述一致。</w:t>
            </w:r>
          </w:p>
        </w:tc>
        <w:tc>
          <w:tcPr>
            <w:tcW w:w="2287" w:type="dxa"/>
            <w:shd w:val="clear" w:color="auto" w:fill="auto"/>
            <w:noWrap w:val="0"/>
            <w:vAlign w:val="center"/>
          </w:tcPr>
          <w:p w14:paraId="597B7B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  <w:sz w:val="21"/>
                <w:szCs w:val="21"/>
                <w:lang w:eastAsia="zh-CN"/>
              </w:rPr>
              <w:t>宁夏农林科学院</w:t>
            </w:r>
          </w:p>
          <w:p w14:paraId="63249606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16" w:leftChars="5" w:firstLine="193" w:firstLineChars="92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张艳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 w14:paraId="619378D6">
            <w:pPr>
              <w:pStyle w:val="1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="16" w:leftChars="5" w:firstLine="193" w:firstLineChars="92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全部采纳。</w:t>
            </w:r>
          </w:p>
        </w:tc>
      </w:tr>
      <w:tr w14:paraId="01683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537AB5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4022" w:type="dxa"/>
            <w:noWrap w:val="0"/>
            <w:vAlign w:val="center"/>
          </w:tcPr>
          <w:p w14:paraId="231D41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15"/>
                <w:sz w:val="21"/>
                <w:szCs w:val="21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15"/>
                <w:sz w:val="21"/>
                <w:szCs w:val="21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15"/>
                <w:sz w:val="21"/>
                <w:szCs w:val="21"/>
                <w:lang w:eastAsia="zh-CN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15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15"/>
                <w:sz w:val="21"/>
                <w:szCs w:val="21"/>
              </w:rPr>
              <w:t>病虫草害防治</w:t>
            </w:r>
          </w:p>
        </w:tc>
        <w:tc>
          <w:tcPr>
            <w:tcW w:w="4540" w:type="dxa"/>
            <w:noWrap w:val="0"/>
            <w:vAlign w:val="center"/>
          </w:tcPr>
          <w:p w14:paraId="5CCAD3D1">
            <w:pPr>
              <w:pStyle w:val="18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ind w:left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修改为：病虫草害防治方法参照GB/T832（所有部分）、NY/T 1276、DB64/T 527和DB64/T 735的要求。</w:t>
            </w:r>
          </w:p>
        </w:tc>
        <w:tc>
          <w:tcPr>
            <w:tcW w:w="2287" w:type="dxa"/>
            <w:shd w:val="clear" w:color="auto" w:fill="auto"/>
            <w:noWrap w:val="0"/>
            <w:vAlign w:val="center"/>
          </w:tcPr>
          <w:p w14:paraId="347549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  <w:sz w:val="21"/>
                <w:szCs w:val="21"/>
                <w:lang w:eastAsia="zh-CN"/>
              </w:rPr>
              <w:t>宁夏农林科学院</w:t>
            </w:r>
          </w:p>
          <w:p w14:paraId="0CCFAD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张艳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 w14:paraId="1AF6B7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部分采纳，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DB64/T 527和DB64/T 735为水稻相关栽培技术。</w:t>
            </w:r>
          </w:p>
        </w:tc>
      </w:tr>
      <w:tr w14:paraId="27123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8" w:type="dxa"/>
            <w:noWrap w:val="0"/>
            <w:vAlign w:val="center"/>
          </w:tcPr>
          <w:p w14:paraId="1A3105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4022" w:type="dxa"/>
            <w:noWrap w:val="0"/>
            <w:vAlign w:val="center"/>
          </w:tcPr>
          <w:p w14:paraId="02A1586C">
            <w:pPr>
              <w:pStyle w:val="25"/>
              <w:keepNext w:val="0"/>
              <w:keepLines w:val="0"/>
              <w:pageBreakBefore w:val="0"/>
              <w:numPr>
                <w:ilvl w:val="1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312" w:after="312" w:line="400" w:lineRule="exact"/>
              <w:ind w:left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第8章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适时收获</w:t>
            </w:r>
          </w:p>
        </w:tc>
        <w:tc>
          <w:tcPr>
            <w:tcW w:w="4540" w:type="dxa"/>
            <w:noWrap w:val="0"/>
            <w:vAlign w:val="center"/>
          </w:tcPr>
          <w:p w14:paraId="01FC92C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标题删除“适时”修改为：收获。</w:t>
            </w:r>
          </w:p>
        </w:tc>
        <w:tc>
          <w:tcPr>
            <w:tcW w:w="2287" w:type="dxa"/>
            <w:shd w:val="clear" w:color="auto" w:fill="auto"/>
            <w:noWrap w:val="0"/>
            <w:vAlign w:val="center"/>
          </w:tcPr>
          <w:p w14:paraId="37A8BD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pacing w:val="-2"/>
                <w:sz w:val="21"/>
                <w:szCs w:val="21"/>
                <w:lang w:eastAsia="zh-CN"/>
              </w:rPr>
              <w:t>宁夏农林科学院</w:t>
            </w:r>
          </w:p>
          <w:p w14:paraId="3A541C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张艳</w:t>
            </w:r>
          </w:p>
        </w:tc>
        <w:tc>
          <w:tcPr>
            <w:tcW w:w="2787" w:type="dxa"/>
            <w:shd w:val="clear" w:color="auto" w:fill="auto"/>
            <w:noWrap w:val="0"/>
            <w:vAlign w:val="center"/>
          </w:tcPr>
          <w:p w14:paraId="4AD165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全部采纳。</w:t>
            </w:r>
          </w:p>
        </w:tc>
      </w:tr>
    </w:tbl>
    <w:p w14:paraId="6724241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</w:pPr>
    </w:p>
    <w:p w14:paraId="728C37F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6838" w:h="11906" w:orient="landscape"/>
      <w:pgMar w:top="1797" w:right="1440" w:bottom="1797" w:left="1440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Noto Sans CJK SC Regular">
    <w:altName w:val="宋体"/>
    <w:panose1 w:val="020B0500000000000000"/>
    <w:charset w:val="86"/>
    <w:family w:val="auto"/>
    <w:pitch w:val="default"/>
    <w:sig w:usb0="00000000" w:usb1="00000000" w:usb2="00000016" w:usb3="00000000" w:csb0="602E0107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5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24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20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19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DE1F04"/>
    <w:rsid w:val="07E8C6DD"/>
    <w:rsid w:val="10164807"/>
    <w:rsid w:val="1D877BAE"/>
    <w:rsid w:val="2F7BFB4C"/>
    <w:rsid w:val="343C5807"/>
    <w:rsid w:val="367DB320"/>
    <w:rsid w:val="4AA541A9"/>
    <w:rsid w:val="544F2DE1"/>
    <w:rsid w:val="5553DC74"/>
    <w:rsid w:val="69BF2D47"/>
    <w:rsid w:val="6B1A52E7"/>
    <w:rsid w:val="6CF7D19C"/>
    <w:rsid w:val="6DFB34C9"/>
    <w:rsid w:val="6F5F5339"/>
    <w:rsid w:val="6F6FEBDE"/>
    <w:rsid w:val="777AFCD7"/>
    <w:rsid w:val="77E32AF4"/>
    <w:rsid w:val="77E45A61"/>
    <w:rsid w:val="795D5ACB"/>
    <w:rsid w:val="7CEB42AB"/>
    <w:rsid w:val="7EDE1F04"/>
    <w:rsid w:val="7FB7119A"/>
    <w:rsid w:val="7FEE5FEB"/>
    <w:rsid w:val="7FF28FF8"/>
    <w:rsid w:val="7FF77EBD"/>
    <w:rsid w:val="8FD1B0A3"/>
    <w:rsid w:val="9B8DE47A"/>
    <w:rsid w:val="B78390BE"/>
    <w:rsid w:val="C39F237D"/>
    <w:rsid w:val="CDB7C3C0"/>
    <w:rsid w:val="DDCF149D"/>
    <w:rsid w:val="DEBFED9D"/>
    <w:rsid w:val="DF3E6811"/>
    <w:rsid w:val="DF731598"/>
    <w:rsid w:val="DFFFF2FB"/>
    <w:rsid w:val="E1D67B48"/>
    <w:rsid w:val="F5FDDDCC"/>
    <w:rsid w:val="F7EF953D"/>
    <w:rsid w:val="FB1C8DB3"/>
    <w:rsid w:val="FBDE2D4C"/>
    <w:rsid w:val="FBFC7803"/>
    <w:rsid w:val="FF3F8AC0"/>
    <w:rsid w:val="FF747B6A"/>
    <w:rsid w:val="FF7ED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240" w:lineRule="atLeast"/>
      <w:jc w:val="center"/>
      <w:outlineLvl w:val="0"/>
    </w:pPr>
    <w:rPr>
      <w:rFonts w:ascii="楷体_GB2312" w:eastAsia="楷体_GB2312"/>
      <w:b/>
      <w:bCs/>
      <w:sz w:val="24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表头"/>
    <w:basedOn w:val="1"/>
    <w:link w:val="8"/>
    <w:qFormat/>
    <w:uiPriority w:val="0"/>
    <w:pPr>
      <w:spacing w:line="300" w:lineRule="exact"/>
      <w:jc w:val="center"/>
    </w:pPr>
    <w:rPr>
      <w:rFonts w:hint="eastAsia" w:ascii="宋体" w:hAnsi="宋体" w:eastAsia="宋体" w:cs="宋体"/>
      <w:b/>
      <w:bCs/>
      <w:color w:val="auto"/>
      <w:sz w:val="28"/>
      <w:szCs w:val="28"/>
    </w:rPr>
  </w:style>
  <w:style w:type="character" w:customStyle="1" w:styleId="8">
    <w:name w:val="表头 Char"/>
    <w:link w:val="7"/>
    <w:qFormat/>
    <w:uiPriority w:val="0"/>
    <w:rPr>
      <w:rFonts w:hint="eastAsia" w:ascii="宋体" w:hAnsi="宋体" w:eastAsia="宋体" w:cs="宋体"/>
      <w:b/>
      <w:bCs/>
      <w:color w:val="auto"/>
      <w:sz w:val="28"/>
      <w:szCs w:val="28"/>
    </w:rPr>
  </w:style>
  <w:style w:type="paragraph" w:customStyle="1" w:styleId="9">
    <w:name w:val="表注"/>
    <w:basedOn w:val="1"/>
    <w:next w:val="1"/>
    <w:link w:val="10"/>
    <w:qFormat/>
    <w:uiPriority w:val="0"/>
    <w:pPr>
      <w:spacing w:line="240" w:lineRule="exact"/>
      <w:ind w:firstLine="420" w:firstLineChars="200"/>
    </w:pPr>
    <w:rPr>
      <w:rFonts w:hint="eastAsia" w:ascii="宋体" w:hAnsi="宋体" w:eastAsia="宋体" w:cs="宋体"/>
      <w:color w:val="auto"/>
      <w:kern w:val="0"/>
      <w:szCs w:val="21"/>
    </w:rPr>
  </w:style>
  <w:style w:type="character" w:customStyle="1" w:styleId="10">
    <w:name w:val="表注 Char"/>
    <w:link w:val="9"/>
    <w:qFormat/>
    <w:uiPriority w:val="0"/>
    <w:rPr>
      <w:rFonts w:hint="eastAsia" w:ascii="宋体" w:hAnsi="宋体" w:eastAsia="宋体" w:cs="宋体"/>
      <w:color w:val="auto"/>
      <w:kern w:val="0"/>
      <w:szCs w:val="21"/>
    </w:rPr>
  </w:style>
  <w:style w:type="paragraph" w:customStyle="1" w:styleId="11">
    <w:name w:val="试验标题三"/>
    <w:basedOn w:val="1"/>
    <w:next w:val="1"/>
    <w:link w:val="12"/>
    <w:qFormat/>
    <w:uiPriority w:val="0"/>
    <w:pPr>
      <w:spacing w:line="560" w:lineRule="exact"/>
      <w:ind w:leftChars="0" w:firstLine="420" w:firstLineChars="200"/>
    </w:pPr>
    <w:rPr>
      <w:rFonts w:hint="eastAsia" w:ascii="仿宋_GB2312" w:hAnsi="仿宋_GB2312" w:eastAsia="仿宋_GB2312" w:cs="宋体"/>
      <w:b/>
      <w:bCs/>
      <w:color w:val="auto"/>
      <w:sz w:val="32"/>
      <w:szCs w:val="32"/>
      <w:lang w:val="zh-CN"/>
    </w:rPr>
  </w:style>
  <w:style w:type="character" w:customStyle="1" w:styleId="12">
    <w:name w:val="标题三 Char"/>
    <w:link w:val="11"/>
    <w:qFormat/>
    <w:uiPriority w:val="0"/>
    <w:rPr>
      <w:rFonts w:hint="eastAsia" w:ascii="仿宋_GB2312" w:hAnsi="仿宋_GB2312" w:eastAsia="仿宋_GB2312" w:cs="宋体"/>
      <w:b/>
      <w:bCs/>
      <w:color w:val="auto"/>
      <w:sz w:val="32"/>
      <w:szCs w:val="32"/>
      <w:lang w:val="zh-CN"/>
    </w:rPr>
  </w:style>
  <w:style w:type="paragraph" w:customStyle="1" w:styleId="13">
    <w:name w:val="表格正文"/>
    <w:basedOn w:val="1"/>
    <w:qFormat/>
    <w:uiPriority w:val="0"/>
    <w:pPr>
      <w:suppressAutoHyphens/>
      <w:bidi w:val="0"/>
      <w:spacing w:line="240" w:lineRule="exact"/>
      <w:jc w:val="center"/>
    </w:pPr>
    <w:rPr>
      <w:rFonts w:ascii="Times New Roman" w:hAnsi="Times New Roman" w:eastAsia="仿宋" w:cstheme="minorBidi"/>
      <w:sz w:val="22"/>
      <w:szCs w:val="28"/>
    </w:rPr>
  </w:style>
  <w:style w:type="paragraph" w:customStyle="1" w:styleId="14">
    <w:name w:val="试验完成单位"/>
    <w:basedOn w:val="1"/>
    <w:next w:val="1"/>
    <w:link w:val="15"/>
    <w:qFormat/>
    <w:uiPriority w:val="0"/>
    <w:pPr>
      <w:spacing w:line="560" w:lineRule="exact"/>
      <w:ind w:firstLine="0" w:firstLineChars="0"/>
      <w:jc w:val="center"/>
      <w:outlineLvl w:val="0"/>
    </w:pPr>
    <w:rPr>
      <w:rFonts w:hint="eastAsia" w:ascii="方正仿宋_GBK" w:hAnsi="方正仿宋_GBK" w:eastAsia="仿宋_GB2312" w:cs="方正仿宋_GBK"/>
      <w:b/>
      <w:bCs/>
      <w:color w:val="auto"/>
      <w:w w:val="98"/>
      <w:sz w:val="28"/>
      <w:szCs w:val="28"/>
    </w:rPr>
  </w:style>
  <w:style w:type="character" w:customStyle="1" w:styleId="15">
    <w:name w:val="试验完成单位 Char"/>
    <w:link w:val="14"/>
    <w:qFormat/>
    <w:uiPriority w:val="0"/>
    <w:rPr>
      <w:rFonts w:hint="eastAsia" w:ascii="方正仿宋_GBK" w:hAnsi="方正仿宋_GBK" w:eastAsia="仿宋_GB2312" w:cs="方正仿宋_GBK"/>
      <w:b/>
      <w:bCs/>
      <w:color w:val="auto"/>
      <w:w w:val="98"/>
      <w:sz w:val="28"/>
      <w:szCs w:val="28"/>
    </w:rPr>
  </w:style>
  <w:style w:type="paragraph" w:customStyle="1" w:styleId="16">
    <w:name w:val="试验正文"/>
    <w:basedOn w:val="1"/>
    <w:link w:val="17"/>
    <w:qFormat/>
    <w:uiPriority w:val="0"/>
    <w:pPr>
      <w:widowControl/>
      <w:spacing w:line="600" w:lineRule="exact"/>
      <w:ind w:firstLine="640" w:firstLineChars="200"/>
    </w:pPr>
    <w:rPr>
      <w:rFonts w:hint="eastAsia" w:ascii="仿宋_GB2312" w:hAnsi="仿宋_GB2312" w:eastAsia="仿宋_GB2312" w:cs="仿宋_GB2312"/>
      <w:color w:val="auto"/>
      <w:sz w:val="32"/>
      <w:szCs w:val="32"/>
    </w:rPr>
  </w:style>
  <w:style w:type="character" w:customStyle="1" w:styleId="17">
    <w:name w:val="试验正文 Char"/>
    <w:link w:val="16"/>
    <w:qFormat/>
    <w:uiPriority w:val="0"/>
    <w:rPr>
      <w:rFonts w:hint="eastAsia" w:ascii="仿宋_GB2312" w:hAnsi="仿宋_GB2312" w:eastAsia="仿宋_GB2312" w:cs="仿宋_GB2312"/>
      <w:color w:val="auto"/>
      <w:sz w:val="32"/>
      <w:szCs w:val="32"/>
    </w:rPr>
  </w:style>
  <w:style w:type="paragraph" w:customStyle="1" w:styleId="18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9">
    <w:name w:val="标准文件_三级条标题"/>
    <w:basedOn w:val="20"/>
    <w:next w:val="21"/>
    <w:qFormat/>
    <w:uiPriority w:val="0"/>
    <w:pPr>
      <w:widowControl/>
      <w:numPr>
        <w:ilvl w:val="4"/>
      </w:numPr>
      <w:outlineLvl w:val="3"/>
    </w:pPr>
  </w:style>
  <w:style w:type="paragraph" w:customStyle="1" w:styleId="20">
    <w:name w:val="标准文件_二级条标题"/>
    <w:next w:val="21"/>
    <w:qFormat/>
    <w:uiPriority w:val="0"/>
    <w:pPr>
      <w:widowControl w:val="0"/>
      <w:numPr>
        <w:ilvl w:val="3"/>
        <w:numId w:val="1"/>
      </w:numPr>
      <w:spacing w:beforeLines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1">
    <w:name w:val="标准文件_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2">
    <w:name w:val="Table Text"/>
    <w:basedOn w:val="1"/>
    <w:semiHidden/>
    <w:qFormat/>
    <w:uiPriority w:val="0"/>
    <w:rPr>
      <w:rFonts w:ascii="Noto Sans CJK SC Regular" w:hAnsi="Noto Sans CJK SC Regular" w:eastAsia="Noto Sans CJK SC Regular" w:cs="Noto Sans CJK SC Regular"/>
      <w:sz w:val="24"/>
      <w:szCs w:val="24"/>
      <w:lang w:val="en-US" w:eastAsia="en-US" w:bidi="ar-SA"/>
    </w:rPr>
  </w:style>
  <w:style w:type="table" w:customStyle="1" w:styleId="2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4">
    <w:name w:val="标准文件_一级条标题"/>
    <w:basedOn w:val="25"/>
    <w:next w:val="21"/>
    <w:qFormat/>
    <w:uiPriority w:val="0"/>
    <w:pPr>
      <w:numPr>
        <w:ilvl w:val="2"/>
      </w:numPr>
      <w:spacing w:beforeLines="50" w:afterLines="50"/>
      <w:outlineLvl w:val="1"/>
    </w:pPr>
  </w:style>
  <w:style w:type="paragraph" w:customStyle="1" w:styleId="25">
    <w:name w:val="标准文件_章标题"/>
    <w:next w:val="21"/>
    <w:qFormat/>
    <w:uiPriority w:val="0"/>
    <w:pPr>
      <w:numPr>
        <w:ilvl w:val="1"/>
        <w:numId w:val="1"/>
      </w:numPr>
      <w:spacing w:beforeLines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6">
    <w:name w:val="TOC 标题1"/>
    <w:basedOn w:val="2"/>
    <w:next w:val="1"/>
    <w:unhideWhenUsed/>
    <w:qFormat/>
    <w:uiPriority w:val="0"/>
    <w:pPr>
      <w:keepNext w:val="0"/>
      <w:keepLines w:val="0"/>
      <w:spacing w:before="480" w:beforeLines="0" w:after="0" w:afterLines="0" w:line="276" w:lineRule="auto"/>
      <w:outlineLvl w:val="9"/>
    </w:pPr>
    <w:rPr>
      <w:rFonts w:hint="eastAsia" w:ascii="仿宋" w:hAnsi="仿宋" w:eastAsia="仿宋"/>
      <w:color w:val="000000"/>
      <w:kern w:val="0"/>
      <w:sz w:val="32"/>
      <w:szCs w:val="32"/>
    </w:rPr>
  </w:style>
  <w:style w:type="paragraph" w:customStyle="1" w:styleId="27">
    <w:name w:val="标准文件_表格"/>
    <w:basedOn w:val="21"/>
    <w:qFormat/>
    <w:uiPriority w:val="0"/>
    <w:pPr>
      <w:ind w:firstLine="0" w:firstLineChars="0"/>
      <w:jc w:val="center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1623</Words>
  <Characters>1958</Characters>
  <Lines>0</Lines>
  <Paragraphs>0</Paragraphs>
  <TotalTime>12</TotalTime>
  <ScaleCrop>false</ScaleCrop>
  <LinksUpToDate>false</LinksUpToDate>
  <CharactersWithSpaces>2010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2026-01-14T16:48:00Z</dcterms:created>
  <dc:creator>走走——婷婷(๑• . •๑)享受生活</dc:creator>
  <cp:lastModifiedBy>走走——婷婷(๑• . •๑)享受生活</cp:lastModifiedBy>
  <dcterms:modified xsi:type="dcterms:W3CDTF">2026-01-16T03:41:13Z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CAB8207C485C4308A38BDA73F2EA6554_13</vt:lpwstr>
  </property>
  <property fmtid="{D5CDD505-2E9C-101B-9397-08002B2CF9AE}" pid="4" name="KSOTemplateDocerSaveRecord">
    <vt:lpwstr>eyJoZGlkIjoiMzhiMzZlYWI0OGIwNjU4ZDFkNGFjN2IyYmRhM2ZiYWIiLCJ1c2VySWQiOiI1ODY5ODAxMTQifQ==</vt:lpwstr>
  </property>
</Properties>
</file>